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F7A42" w14:textId="77777777" w:rsidR="0096350E" w:rsidRPr="0096350E" w:rsidRDefault="0096350E" w:rsidP="0096350E">
      <w:pPr>
        <w:ind w:firstLineChars="50" w:firstLine="105"/>
        <w:jc w:val="center"/>
        <w:rPr>
          <w:b/>
          <w:bCs/>
          <w:szCs w:val="21"/>
        </w:rPr>
      </w:pPr>
    </w:p>
    <w:p w14:paraId="764DB594" w14:textId="77777777" w:rsidR="0096350E" w:rsidRPr="0096350E" w:rsidRDefault="0096350E" w:rsidP="0096350E">
      <w:pPr>
        <w:ind w:firstLineChars="50" w:firstLine="105"/>
        <w:jc w:val="center"/>
        <w:rPr>
          <w:b/>
          <w:bCs/>
          <w:szCs w:val="21"/>
        </w:rPr>
      </w:pPr>
    </w:p>
    <w:p w14:paraId="5947B730" w14:textId="7E21EB52" w:rsidR="0096350E" w:rsidRPr="00DD5775" w:rsidRDefault="0096350E" w:rsidP="0096350E">
      <w:pPr>
        <w:ind w:firstLineChars="50" w:firstLine="120"/>
        <w:jc w:val="center"/>
        <w:rPr>
          <w:b/>
          <w:bCs/>
          <w:sz w:val="24"/>
          <w:szCs w:val="24"/>
        </w:rPr>
      </w:pPr>
      <w:bookmarkStart w:id="0" w:name="_GoBack"/>
      <w:r w:rsidRPr="00DD5775">
        <w:rPr>
          <w:b/>
          <w:bCs/>
          <w:sz w:val="24"/>
          <w:szCs w:val="24"/>
        </w:rPr>
        <w:t>國際商經學部（Global Business Course） 留學生英文檢定標準</w:t>
      </w:r>
    </w:p>
    <w:bookmarkEnd w:id="0"/>
    <w:p w14:paraId="08D5E679" w14:textId="77777777" w:rsidR="0096350E" w:rsidRPr="0096350E" w:rsidRDefault="0096350E" w:rsidP="0096350E">
      <w:pPr>
        <w:ind w:firstLineChars="50" w:firstLine="105"/>
        <w:jc w:val="center"/>
        <w:rPr>
          <w:szCs w:val="21"/>
        </w:rPr>
      </w:pPr>
    </w:p>
    <w:p w14:paraId="6DFDEDDD" w14:textId="623EB9AE" w:rsidR="0096350E" w:rsidRPr="0096350E" w:rsidRDefault="003D29F1" w:rsidP="0096350E">
      <w:pPr>
        <w:ind w:firstLineChars="250" w:firstLine="525"/>
        <w:rPr>
          <w:szCs w:val="21"/>
          <w:lang w:eastAsia="zh-TW"/>
        </w:rPr>
      </w:pPr>
      <w:r>
        <w:rPr>
          <w:rFonts w:ascii="DengXian" w:eastAsia="DengXian" w:hAnsi="DengXian" w:hint="eastAsia"/>
          <w:szCs w:val="21"/>
          <w:lang w:eastAsia="zh-TW"/>
        </w:rPr>
        <w:t>本校</w:t>
      </w:r>
      <w:r>
        <w:rPr>
          <w:rFonts w:ascii="SimSun" w:eastAsia="SimSun" w:hAnsi="SimSun" w:cs="SimSun" w:hint="eastAsia"/>
          <w:szCs w:val="21"/>
          <w:lang w:eastAsia="zh-TW"/>
        </w:rPr>
        <w:t>认可</w:t>
      </w:r>
      <w:r w:rsidR="0096350E" w:rsidRPr="0096350E">
        <w:rPr>
          <w:szCs w:val="21"/>
          <w:lang w:eastAsia="zh-TW"/>
        </w:rPr>
        <w:t>下列任一項英語能力測驗（相當 CEFR「B2」等級）</w:t>
      </w:r>
      <w:r>
        <w:rPr>
          <w:rFonts w:ascii="DengXian" w:eastAsia="DengXian" w:hAnsi="DengXian" w:hint="eastAsia"/>
          <w:szCs w:val="21"/>
          <w:lang w:eastAsia="zh-TW"/>
        </w:rPr>
        <w:t>。</w:t>
      </w:r>
      <w:r w:rsidR="0096350E" w:rsidRPr="0096350E">
        <w:rPr>
          <w:szCs w:val="21"/>
          <w:lang w:eastAsia="zh-TW"/>
        </w:rPr>
        <w:t xml:space="preserve"> </w:t>
      </w:r>
    </w:p>
    <w:p w14:paraId="77C129C7" w14:textId="77777777" w:rsidR="0096350E" w:rsidRPr="0096350E" w:rsidRDefault="0096350E" w:rsidP="0096350E">
      <w:pPr>
        <w:ind w:firstLineChars="250" w:firstLine="525"/>
        <w:rPr>
          <w:szCs w:val="21"/>
        </w:rPr>
      </w:pPr>
      <w:r w:rsidRPr="0096350E">
        <w:rPr>
          <w:szCs w:val="21"/>
        </w:rPr>
        <w:t xml:space="preserve">申請標準：CEFR 對照表 </w:t>
      </w:r>
    </w:p>
    <w:tbl>
      <w:tblPr>
        <w:tblStyle w:val="a3"/>
        <w:tblW w:w="0" w:type="auto"/>
        <w:tblInd w:w="248" w:type="dxa"/>
        <w:tblLook w:val="04A0" w:firstRow="1" w:lastRow="0" w:firstColumn="1" w:lastColumn="0" w:noHBand="0" w:noVBand="1"/>
      </w:tblPr>
      <w:tblGrid>
        <w:gridCol w:w="2480"/>
        <w:gridCol w:w="2480"/>
        <w:gridCol w:w="2481"/>
        <w:gridCol w:w="2481"/>
        <w:gridCol w:w="2481"/>
        <w:gridCol w:w="2481"/>
      </w:tblGrid>
      <w:tr w:rsidR="0096350E" w14:paraId="2DD1FC45" w14:textId="77777777" w:rsidTr="008E431D">
        <w:trPr>
          <w:trHeight w:val="1505"/>
        </w:trPr>
        <w:tc>
          <w:tcPr>
            <w:tcW w:w="2480" w:type="dxa"/>
          </w:tcPr>
          <w:p w14:paraId="3BEF8229" w14:textId="77777777" w:rsidR="00DD5775" w:rsidRDefault="00DD5775" w:rsidP="00DD5775">
            <w:pPr>
              <w:jc w:val="center"/>
            </w:pPr>
          </w:p>
          <w:p w14:paraId="32CD0A86" w14:textId="77777777" w:rsidR="00DD5775" w:rsidRDefault="00DD5775" w:rsidP="00DD5775">
            <w:pPr>
              <w:jc w:val="center"/>
            </w:pPr>
          </w:p>
          <w:p w14:paraId="5E08910E" w14:textId="58F7BAFB" w:rsidR="0096350E" w:rsidRDefault="0096350E" w:rsidP="00DD5775">
            <w:pPr>
              <w:jc w:val="center"/>
            </w:pPr>
            <w:r>
              <w:t>CEFR 標準</w:t>
            </w:r>
          </w:p>
          <w:p w14:paraId="001FE3F4" w14:textId="77777777" w:rsidR="00DD5775" w:rsidRDefault="00DD5775" w:rsidP="00DD5775">
            <w:pPr>
              <w:jc w:val="center"/>
            </w:pPr>
          </w:p>
          <w:p w14:paraId="778B4064" w14:textId="5E45EF05" w:rsidR="00DD5775" w:rsidRPr="00DD5775" w:rsidRDefault="00DD5775" w:rsidP="00DD5775">
            <w:pPr>
              <w:jc w:val="center"/>
            </w:pPr>
          </w:p>
        </w:tc>
        <w:tc>
          <w:tcPr>
            <w:tcW w:w="2480" w:type="dxa"/>
          </w:tcPr>
          <w:p w14:paraId="4AEBF3E0" w14:textId="77777777" w:rsidR="00DD5775" w:rsidRDefault="00DD5775" w:rsidP="00DD5775">
            <w:pPr>
              <w:jc w:val="center"/>
            </w:pPr>
          </w:p>
          <w:p w14:paraId="0DD588FD" w14:textId="6278AF5A" w:rsidR="00DD5775" w:rsidRDefault="00DD5775" w:rsidP="00DD5775">
            <w:pPr>
              <w:jc w:val="center"/>
            </w:pPr>
            <w:r>
              <w:t>Cambridge</w:t>
            </w:r>
          </w:p>
          <w:p w14:paraId="787808AC" w14:textId="0C6722F5" w:rsidR="00DD5775" w:rsidRDefault="00DD5775" w:rsidP="00DD5775">
            <w:pPr>
              <w:jc w:val="center"/>
            </w:pPr>
            <w:r>
              <w:t>Examination</w:t>
            </w:r>
          </w:p>
          <w:p w14:paraId="1CED5DE6" w14:textId="77777777" w:rsidR="0096350E" w:rsidRDefault="00DD5775" w:rsidP="00DD5775">
            <w:pPr>
              <w:jc w:val="center"/>
            </w:pPr>
            <w:r>
              <w:t>劍橋英語檢定</w:t>
            </w:r>
          </w:p>
          <w:p w14:paraId="343237BC" w14:textId="53F4FC18" w:rsidR="00DD5775" w:rsidRDefault="00DD5775" w:rsidP="00DD5775">
            <w:pPr>
              <w:rPr>
                <w:szCs w:val="21"/>
              </w:rPr>
            </w:pPr>
          </w:p>
        </w:tc>
        <w:tc>
          <w:tcPr>
            <w:tcW w:w="2481" w:type="dxa"/>
          </w:tcPr>
          <w:p w14:paraId="22519B67" w14:textId="77777777" w:rsidR="00DD5775" w:rsidRDefault="00DD5775" w:rsidP="00DD5775">
            <w:pPr>
              <w:jc w:val="center"/>
            </w:pPr>
          </w:p>
          <w:p w14:paraId="0F745667" w14:textId="77777777" w:rsidR="00DD5775" w:rsidRDefault="00DD5775" w:rsidP="00DD5775">
            <w:pPr>
              <w:jc w:val="center"/>
            </w:pPr>
          </w:p>
          <w:p w14:paraId="4AAB1B05" w14:textId="7F197A43" w:rsidR="00DD5775" w:rsidRDefault="00DD5775" w:rsidP="00DD5775">
            <w:pPr>
              <w:jc w:val="center"/>
            </w:pPr>
            <w:r>
              <w:t>IELTS</w:t>
            </w:r>
          </w:p>
          <w:p w14:paraId="0591076F" w14:textId="58C2F7D9" w:rsidR="0096350E" w:rsidRDefault="00DD5775" w:rsidP="00DD5775">
            <w:pPr>
              <w:jc w:val="center"/>
              <w:rPr>
                <w:szCs w:val="21"/>
              </w:rPr>
            </w:pPr>
            <w:r>
              <w:t>雅思</w:t>
            </w:r>
          </w:p>
        </w:tc>
        <w:tc>
          <w:tcPr>
            <w:tcW w:w="2481" w:type="dxa"/>
          </w:tcPr>
          <w:p w14:paraId="50ADC9D9" w14:textId="77777777" w:rsidR="00DD5775" w:rsidRDefault="00DD5775" w:rsidP="00DD5775">
            <w:pPr>
              <w:jc w:val="center"/>
            </w:pPr>
          </w:p>
          <w:p w14:paraId="2638099B" w14:textId="7D235CD8" w:rsidR="00DD5775" w:rsidRDefault="00DD5775" w:rsidP="00DD5775">
            <w:pPr>
              <w:jc w:val="center"/>
            </w:pPr>
            <w:r>
              <w:t>TOEIC L&amp;R/</w:t>
            </w:r>
          </w:p>
          <w:p w14:paraId="66EFB953" w14:textId="5AB5BDA1" w:rsidR="00DD5775" w:rsidRDefault="00DD5775" w:rsidP="00DD5775">
            <w:pPr>
              <w:jc w:val="center"/>
            </w:pPr>
            <w:r>
              <w:t>TOEIC S&amp;W</w:t>
            </w:r>
          </w:p>
          <w:p w14:paraId="27D6E286" w14:textId="4ED5461E" w:rsidR="0096350E" w:rsidRDefault="00DD5775" w:rsidP="00DD5775">
            <w:pPr>
              <w:jc w:val="center"/>
              <w:rPr>
                <w:szCs w:val="21"/>
              </w:rPr>
            </w:pPr>
            <w:r>
              <w:t>多益(聽說讀寫)</w:t>
            </w:r>
          </w:p>
        </w:tc>
        <w:tc>
          <w:tcPr>
            <w:tcW w:w="2481" w:type="dxa"/>
          </w:tcPr>
          <w:p w14:paraId="52371D1F" w14:textId="77777777" w:rsidR="00DD5775" w:rsidRDefault="00DD5775" w:rsidP="00DD5775">
            <w:pPr>
              <w:jc w:val="center"/>
            </w:pPr>
          </w:p>
          <w:p w14:paraId="52EF516B" w14:textId="77777777" w:rsidR="00DD5775" w:rsidRDefault="00DD5775" w:rsidP="00DD5775">
            <w:pPr>
              <w:ind w:firstLineChars="200" w:firstLine="420"/>
            </w:pPr>
          </w:p>
          <w:p w14:paraId="6CADEE23" w14:textId="7F9A0644" w:rsidR="00DD5775" w:rsidRDefault="00DD5775" w:rsidP="00DD5775">
            <w:pPr>
              <w:ind w:firstLineChars="250" w:firstLine="525"/>
            </w:pPr>
            <w:r>
              <w:t>TOEFL iBT</w:t>
            </w:r>
          </w:p>
          <w:p w14:paraId="79BD072B" w14:textId="590BB0D6" w:rsidR="0096350E" w:rsidRDefault="00DD5775" w:rsidP="00DD5775">
            <w:pPr>
              <w:jc w:val="center"/>
              <w:rPr>
                <w:szCs w:val="21"/>
              </w:rPr>
            </w:pPr>
            <w:r>
              <w:t>托福 iBT</w:t>
            </w:r>
          </w:p>
        </w:tc>
        <w:tc>
          <w:tcPr>
            <w:tcW w:w="2481" w:type="dxa"/>
          </w:tcPr>
          <w:p w14:paraId="7A6FC494" w14:textId="77777777" w:rsidR="00DD5775" w:rsidRDefault="00DD5775" w:rsidP="00DD5775">
            <w:pPr>
              <w:jc w:val="center"/>
            </w:pPr>
          </w:p>
          <w:p w14:paraId="102503F7" w14:textId="77777777" w:rsidR="00DD5775" w:rsidRDefault="00DD5775" w:rsidP="00DD5775">
            <w:pPr>
              <w:jc w:val="center"/>
            </w:pPr>
          </w:p>
          <w:p w14:paraId="425AF6F0" w14:textId="2CD55B87" w:rsidR="00DD5775" w:rsidRDefault="00DD5775" w:rsidP="00DD5775">
            <w:pPr>
              <w:jc w:val="center"/>
            </w:pPr>
            <w:r>
              <w:t>GTEC</w:t>
            </w:r>
          </w:p>
          <w:p w14:paraId="63C8EA50" w14:textId="0938ACB2" w:rsidR="0096350E" w:rsidRDefault="00DD5775" w:rsidP="00DD5775">
            <w:pPr>
              <w:jc w:val="center"/>
              <w:rPr>
                <w:szCs w:val="21"/>
              </w:rPr>
            </w:pPr>
            <w:r>
              <w:t>(聽說讀寫)</w:t>
            </w:r>
          </w:p>
        </w:tc>
      </w:tr>
      <w:tr w:rsidR="00DD5775" w14:paraId="3C1DEC6E" w14:textId="77777777" w:rsidTr="008E431D">
        <w:trPr>
          <w:trHeight w:val="300"/>
        </w:trPr>
        <w:tc>
          <w:tcPr>
            <w:tcW w:w="2480" w:type="dxa"/>
          </w:tcPr>
          <w:p w14:paraId="6BC7AA8C" w14:textId="333821D7" w:rsidR="00DD5775" w:rsidRDefault="00DD5775" w:rsidP="00DD5775">
            <w:pPr>
              <w:jc w:val="center"/>
              <w:rPr>
                <w:szCs w:val="21"/>
              </w:rPr>
            </w:pPr>
            <w:r w:rsidRPr="00CE7F91">
              <w:t>B2</w:t>
            </w:r>
          </w:p>
        </w:tc>
        <w:tc>
          <w:tcPr>
            <w:tcW w:w="2480" w:type="dxa"/>
          </w:tcPr>
          <w:p w14:paraId="65E6A1A3" w14:textId="0B76FD1D" w:rsidR="00DD5775" w:rsidRDefault="00DD5775" w:rsidP="00DD5775">
            <w:pPr>
              <w:jc w:val="center"/>
              <w:rPr>
                <w:szCs w:val="21"/>
              </w:rPr>
            </w:pPr>
            <w:r w:rsidRPr="00CE7F91">
              <w:t>160</w:t>
            </w:r>
          </w:p>
        </w:tc>
        <w:tc>
          <w:tcPr>
            <w:tcW w:w="2481" w:type="dxa"/>
          </w:tcPr>
          <w:p w14:paraId="5BD3CFE4" w14:textId="176F80E8" w:rsidR="00DD5775" w:rsidRDefault="00DD5775" w:rsidP="00DD5775">
            <w:pPr>
              <w:jc w:val="center"/>
              <w:rPr>
                <w:szCs w:val="21"/>
              </w:rPr>
            </w:pPr>
            <w:r w:rsidRPr="00CE7F91">
              <w:t>5.5</w:t>
            </w:r>
          </w:p>
        </w:tc>
        <w:tc>
          <w:tcPr>
            <w:tcW w:w="2481" w:type="dxa"/>
          </w:tcPr>
          <w:p w14:paraId="67DB4A52" w14:textId="2BB10625" w:rsidR="00DD5775" w:rsidRDefault="00DD5775" w:rsidP="00DD5775">
            <w:pPr>
              <w:jc w:val="center"/>
              <w:rPr>
                <w:szCs w:val="21"/>
              </w:rPr>
            </w:pPr>
            <w:r w:rsidRPr="00CE7F91">
              <w:t>1560</w:t>
            </w:r>
          </w:p>
        </w:tc>
        <w:tc>
          <w:tcPr>
            <w:tcW w:w="2481" w:type="dxa"/>
          </w:tcPr>
          <w:p w14:paraId="62BF2C97" w14:textId="233EB934" w:rsidR="00DD5775" w:rsidRDefault="00DD5775" w:rsidP="00DD5775">
            <w:pPr>
              <w:jc w:val="center"/>
              <w:rPr>
                <w:szCs w:val="21"/>
              </w:rPr>
            </w:pPr>
            <w:r w:rsidRPr="00CE7F91">
              <w:t>72</w:t>
            </w:r>
          </w:p>
        </w:tc>
        <w:tc>
          <w:tcPr>
            <w:tcW w:w="2481" w:type="dxa"/>
          </w:tcPr>
          <w:p w14:paraId="5B1E7FE9" w14:textId="0E717F95" w:rsidR="00DD5775" w:rsidRDefault="00DD5775" w:rsidP="00DD5775">
            <w:pPr>
              <w:jc w:val="center"/>
              <w:rPr>
                <w:szCs w:val="21"/>
              </w:rPr>
            </w:pPr>
            <w:r w:rsidRPr="00CE7F91">
              <w:t>中高級</w:t>
            </w:r>
          </w:p>
        </w:tc>
      </w:tr>
    </w:tbl>
    <w:p w14:paraId="25FC6A38" w14:textId="77777777" w:rsidR="0096350E" w:rsidRPr="0096350E" w:rsidRDefault="0096350E">
      <w:pPr>
        <w:rPr>
          <w:szCs w:val="21"/>
        </w:rPr>
      </w:pPr>
    </w:p>
    <w:p w14:paraId="666C9000" w14:textId="27A0C096" w:rsidR="0096350E" w:rsidRPr="0096350E" w:rsidRDefault="0096350E" w:rsidP="0096350E">
      <w:pPr>
        <w:ind w:leftChars="250" w:left="735" w:hangingChars="100" w:hanging="210"/>
        <w:rPr>
          <w:rFonts w:eastAsiaTheme="minorHAnsi"/>
          <w:szCs w:val="21"/>
          <w:lang w:eastAsia="zh-TW"/>
        </w:rPr>
      </w:pPr>
      <w:r w:rsidRPr="0096350E">
        <w:rPr>
          <w:rFonts w:eastAsiaTheme="minorHAnsi"/>
          <w:szCs w:val="21"/>
        </w:rPr>
        <w:t>＊CEFR 即 Common European Framework of Reference（歐洲語言學習、教學、評量共同參考架構），此標準目前也為中華民國教育部採用</w:t>
      </w:r>
      <w:r w:rsidR="003D29F1">
        <w:rPr>
          <w:rFonts w:ascii="DengXian" w:eastAsia="DengXian" w:hAnsi="DengXian" w:hint="eastAsia"/>
          <w:szCs w:val="21"/>
          <w:lang w:eastAsia="zh-CN"/>
        </w:rPr>
        <w:t>，</w:t>
      </w:r>
      <w:r w:rsidRPr="0096350E">
        <w:rPr>
          <w:rFonts w:eastAsiaTheme="minorHAnsi"/>
          <w:szCs w:val="21"/>
        </w:rPr>
        <w:t xml:space="preserve">請參考 </w:t>
      </w:r>
      <w:r w:rsidRPr="0096350E">
        <w:rPr>
          <w:rFonts w:eastAsiaTheme="minorHAnsi"/>
          <w:szCs w:val="21"/>
        </w:rPr>
        <w:lastRenderedPageBreak/>
        <w:t>https://www.lttc.ntu.edu.tw/CEFRbyLTTC_tests.htm。</w:t>
      </w:r>
      <w:r w:rsidRPr="0096350E">
        <w:rPr>
          <w:rFonts w:eastAsiaTheme="minorHAnsi"/>
          <w:szCs w:val="21"/>
          <w:lang w:eastAsia="zh-TW"/>
        </w:rPr>
        <w:t xml:space="preserve">亦即，臺灣學生若提出 GEPT（全民英檢）成績，須通過中高級「聽、讀」 </w:t>
      </w:r>
    </w:p>
    <w:p w14:paraId="59881E3D" w14:textId="55FD0318" w:rsidR="0096350E" w:rsidRPr="0096350E" w:rsidRDefault="0096350E" w:rsidP="0096350E">
      <w:pPr>
        <w:ind w:leftChars="100" w:left="210" w:firstLineChars="200" w:firstLine="420"/>
        <w:rPr>
          <w:rFonts w:eastAsiaTheme="minorHAnsi"/>
          <w:szCs w:val="21"/>
          <w:lang w:eastAsia="zh-TW"/>
        </w:rPr>
      </w:pPr>
      <w:r w:rsidRPr="0096350E">
        <w:rPr>
          <w:rFonts w:eastAsiaTheme="minorHAnsi"/>
          <w:szCs w:val="21"/>
          <w:lang w:eastAsia="zh-TW"/>
        </w:rPr>
        <w:t xml:space="preserve">（相當 CEFR B2），及通過中高級「說、寫」（相當 CEFR B2）。 </w:t>
      </w:r>
    </w:p>
    <w:p w14:paraId="05B45F0D" w14:textId="77777777" w:rsidR="0096350E" w:rsidRPr="00024A0F" w:rsidRDefault="0096350E" w:rsidP="0096350E">
      <w:pPr>
        <w:ind w:leftChars="50" w:left="210" w:hangingChars="50" w:hanging="105"/>
        <w:rPr>
          <w:rFonts w:eastAsia="DengXian"/>
          <w:szCs w:val="21"/>
          <w:lang w:eastAsia="zh-CN"/>
        </w:rPr>
      </w:pPr>
    </w:p>
    <w:p w14:paraId="5AF3B3BF" w14:textId="77777777" w:rsidR="0096350E" w:rsidRPr="0096350E" w:rsidRDefault="0096350E" w:rsidP="0096350E">
      <w:pPr>
        <w:ind w:leftChars="100" w:left="210" w:firstLineChars="150" w:firstLine="315"/>
        <w:rPr>
          <w:rFonts w:eastAsiaTheme="minorHAnsi"/>
          <w:szCs w:val="21"/>
          <w:lang w:eastAsia="zh-TW"/>
        </w:rPr>
      </w:pPr>
      <w:r w:rsidRPr="0096350E">
        <w:rPr>
          <w:rFonts w:eastAsiaTheme="minorHAnsi"/>
          <w:szCs w:val="21"/>
        </w:rPr>
        <w:t>＊TOEIC L&amp;R/TOEIC S&amp;W 分數：TOEIC L&amp;R 分數加上 TOEIC S&amp;W 分數×2.5 倍的合計。</w:t>
      </w:r>
      <w:r w:rsidRPr="0096350E">
        <w:rPr>
          <w:rFonts w:eastAsiaTheme="minorHAnsi"/>
          <w:szCs w:val="21"/>
          <w:lang w:eastAsia="zh-TW"/>
        </w:rPr>
        <w:t xml:space="preserve">上列 1560 為 TOEIC 聽說讀寫的成績計算結果。 </w:t>
      </w:r>
    </w:p>
    <w:p w14:paraId="23C084B3" w14:textId="77777777" w:rsidR="0096350E" w:rsidRPr="0096350E" w:rsidRDefault="0096350E" w:rsidP="0096350E">
      <w:pPr>
        <w:ind w:left="210" w:hangingChars="100" w:hanging="210"/>
        <w:rPr>
          <w:rFonts w:eastAsiaTheme="minorHAnsi"/>
          <w:szCs w:val="21"/>
          <w:lang w:eastAsia="zh-TW"/>
        </w:rPr>
      </w:pPr>
    </w:p>
    <w:p w14:paraId="3E95084C" w14:textId="563B9596" w:rsidR="0096350E" w:rsidRPr="0096350E" w:rsidRDefault="0096350E" w:rsidP="0096350E">
      <w:pPr>
        <w:ind w:leftChars="250" w:left="735" w:hangingChars="100" w:hanging="210"/>
        <w:rPr>
          <w:rFonts w:eastAsiaTheme="minorHAnsi"/>
          <w:szCs w:val="21"/>
          <w:lang w:eastAsia="zh-TW"/>
        </w:rPr>
      </w:pPr>
      <w:r w:rsidRPr="0096350E">
        <w:rPr>
          <w:rFonts w:eastAsiaTheme="minorHAnsi"/>
          <w:szCs w:val="21"/>
          <w:lang w:eastAsia="zh-TW"/>
        </w:rPr>
        <w:t>＊上列成績換算表，是本校以文部科學省製作的「各項資格、檢定考試與CEFR 對照表（2018(平成30)年3月）」為基準，製作本校實施2024年度入學英語能力的對照標準。</w:t>
      </w:r>
      <w:r w:rsidR="00024A0F" w:rsidRPr="00024A0F">
        <w:rPr>
          <w:rFonts w:eastAsiaTheme="minorHAnsi"/>
          <w:szCs w:val="21"/>
          <w:lang w:eastAsia="zh-TW"/>
        </w:rPr>
        <w:t>Writing、Reading、Speaking、Listening</w:t>
      </w:r>
      <w:r w:rsidR="00024A0F" w:rsidRPr="00024A0F">
        <w:rPr>
          <w:rFonts w:ascii="DengXian" w:eastAsia="DengXian" w:hAnsi="DengXian" w:hint="eastAsia"/>
          <w:szCs w:val="21"/>
          <w:lang w:eastAsia="zh-TW"/>
        </w:rPr>
        <w:t>四項能力，每項都必須達到</w:t>
      </w:r>
      <w:r w:rsidR="00024A0F" w:rsidRPr="00024A0F">
        <w:rPr>
          <w:rFonts w:eastAsiaTheme="minorHAnsi"/>
          <w:szCs w:val="21"/>
          <w:lang w:eastAsia="zh-TW"/>
        </w:rPr>
        <w:t>CEFR B2</w:t>
      </w:r>
      <w:r w:rsidR="00024A0F" w:rsidRPr="00024A0F">
        <w:rPr>
          <w:rFonts w:ascii="DengXian" w:eastAsia="DengXian" w:hAnsi="DengXian" w:hint="eastAsia"/>
          <w:szCs w:val="21"/>
          <w:lang w:eastAsia="zh-TW"/>
        </w:rPr>
        <w:t>。</w:t>
      </w:r>
    </w:p>
    <w:p w14:paraId="2ED413B7" w14:textId="77777777" w:rsidR="0096350E" w:rsidRPr="0096350E" w:rsidRDefault="0096350E">
      <w:pPr>
        <w:rPr>
          <w:rFonts w:eastAsiaTheme="minorHAnsi"/>
          <w:szCs w:val="21"/>
          <w:lang w:eastAsia="zh-TW"/>
        </w:rPr>
      </w:pPr>
    </w:p>
    <w:p w14:paraId="7715AF8B" w14:textId="43214134" w:rsidR="0096350E" w:rsidRPr="0096350E" w:rsidRDefault="0096350E" w:rsidP="0096350E">
      <w:pPr>
        <w:ind w:firstLineChars="250" w:firstLine="525"/>
        <w:rPr>
          <w:rFonts w:eastAsiaTheme="minorHAnsi"/>
          <w:szCs w:val="21"/>
          <w:lang w:eastAsia="zh-TW"/>
        </w:rPr>
      </w:pPr>
      <w:r w:rsidRPr="0096350E">
        <w:rPr>
          <w:rFonts w:eastAsiaTheme="minorHAnsi"/>
          <w:szCs w:val="21"/>
          <w:lang w:eastAsia="zh-TW"/>
        </w:rPr>
        <w:t>＊若</w:t>
      </w:r>
      <w:r w:rsidR="00024A0F">
        <w:rPr>
          <w:rFonts w:ascii="DengXian" w:eastAsia="DengXian" w:hAnsi="DengXian" w:hint="eastAsia"/>
          <w:szCs w:val="21"/>
          <w:lang w:eastAsia="zh-TW"/>
        </w:rPr>
        <w:t>學生沒有上述英語能力證書，</w:t>
      </w:r>
      <w:r w:rsidR="00024A0F">
        <w:rPr>
          <w:rFonts w:ascii="DengXian" w:eastAsia="DengXian" w:hAnsi="DengXian" w:hint="eastAsia"/>
          <w:szCs w:val="21"/>
          <w:lang w:eastAsia="zh-CN"/>
        </w:rPr>
        <w:t>友好高中校的</w:t>
      </w:r>
      <w:r w:rsidRPr="0096350E">
        <w:rPr>
          <w:rFonts w:eastAsiaTheme="minorHAnsi"/>
          <w:szCs w:val="21"/>
          <w:lang w:eastAsia="zh-TW"/>
        </w:rPr>
        <w:t>英文老師</w:t>
      </w:r>
      <w:r w:rsidR="00024A0F">
        <w:rPr>
          <w:rFonts w:ascii="DengXian" w:eastAsia="DengXian" w:hAnsi="DengXian" w:hint="eastAsia"/>
          <w:szCs w:val="21"/>
          <w:lang w:eastAsia="zh-TW"/>
        </w:rPr>
        <w:t>如可</w:t>
      </w:r>
      <w:r w:rsidRPr="0096350E">
        <w:rPr>
          <w:rFonts w:eastAsiaTheme="minorHAnsi"/>
          <w:szCs w:val="21"/>
          <w:lang w:eastAsia="zh-TW"/>
        </w:rPr>
        <w:t>證明該名學生之英語能力相當於上述英語能力考試標準，</w:t>
      </w:r>
      <w:r w:rsidR="00024A0F">
        <w:rPr>
          <w:rFonts w:ascii="DengXian" w:eastAsia="DengXian" w:hAnsi="DengXian" w:hint="eastAsia"/>
          <w:szCs w:val="21"/>
          <w:lang w:eastAsia="zh-TW"/>
        </w:rPr>
        <w:t>可</w:t>
      </w:r>
      <w:r w:rsidRPr="0096350E">
        <w:rPr>
          <w:rFonts w:eastAsiaTheme="minorHAnsi"/>
          <w:szCs w:val="21"/>
          <w:lang w:eastAsia="zh-TW"/>
        </w:rPr>
        <w:t xml:space="preserve">由英文老師之證明書取代。 </w:t>
      </w:r>
    </w:p>
    <w:p w14:paraId="0E9915FC" w14:textId="77777777" w:rsidR="0096350E" w:rsidRPr="0096350E" w:rsidRDefault="0096350E">
      <w:pPr>
        <w:rPr>
          <w:rFonts w:eastAsiaTheme="minorHAnsi"/>
          <w:szCs w:val="21"/>
          <w:lang w:eastAsia="zh-TW"/>
        </w:rPr>
      </w:pPr>
    </w:p>
    <w:p w14:paraId="184532BE" w14:textId="39AD8EAE" w:rsidR="00D04F3E" w:rsidRPr="0096350E" w:rsidRDefault="0096350E" w:rsidP="0096350E">
      <w:pPr>
        <w:ind w:firstLineChars="250" w:firstLine="525"/>
        <w:rPr>
          <w:rFonts w:eastAsiaTheme="minorHAnsi"/>
          <w:szCs w:val="21"/>
          <w:lang w:eastAsia="zh-TW"/>
        </w:rPr>
      </w:pPr>
      <w:r w:rsidRPr="0096350E">
        <w:rPr>
          <w:rFonts w:eastAsiaTheme="minorHAnsi"/>
          <w:szCs w:val="21"/>
          <w:lang w:eastAsia="zh-TW"/>
        </w:rPr>
        <w:t>＊若學生為英語系國家的母語人士或曾接受英語系國家官方教育滿6年，即無須提供英語能力證明文件</w:t>
      </w:r>
      <w:r w:rsidR="003D29F1">
        <w:rPr>
          <w:rFonts w:ascii="DengXian" w:eastAsia="DengXian" w:hAnsi="DengXian" w:hint="eastAsia"/>
          <w:szCs w:val="21"/>
          <w:lang w:eastAsia="zh-TW"/>
        </w:rPr>
        <w:t>。</w:t>
      </w:r>
    </w:p>
    <w:sectPr w:rsidR="00D04F3E" w:rsidRPr="0096350E" w:rsidSect="009635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7C123" w14:textId="77777777" w:rsidR="0018217D" w:rsidRDefault="0018217D" w:rsidP="00024A0F">
      <w:r>
        <w:separator/>
      </w:r>
    </w:p>
  </w:endnote>
  <w:endnote w:type="continuationSeparator" w:id="0">
    <w:p w14:paraId="6FA34CCE" w14:textId="77777777" w:rsidR="0018217D" w:rsidRDefault="0018217D" w:rsidP="000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B6C4" w14:textId="77777777" w:rsidR="0018217D" w:rsidRDefault="0018217D" w:rsidP="00024A0F">
      <w:r>
        <w:separator/>
      </w:r>
    </w:p>
  </w:footnote>
  <w:footnote w:type="continuationSeparator" w:id="0">
    <w:p w14:paraId="5487964A" w14:textId="77777777" w:rsidR="0018217D" w:rsidRDefault="0018217D" w:rsidP="0002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0E"/>
    <w:rsid w:val="00024A0F"/>
    <w:rsid w:val="0018217D"/>
    <w:rsid w:val="00393F17"/>
    <w:rsid w:val="003D29F1"/>
    <w:rsid w:val="00712D8F"/>
    <w:rsid w:val="008E431D"/>
    <w:rsid w:val="008E6751"/>
    <w:rsid w:val="0096350E"/>
    <w:rsid w:val="00A85406"/>
    <w:rsid w:val="00D04F3E"/>
    <w:rsid w:val="00D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77A5A"/>
  <w15:chartTrackingRefBased/>
  <w15:docId w15:val="{496F87F5-92AD-4C61-8A4C-B42653D3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024A0F"/>
  </w:style>
  <w:style w:type="paragraph" w:styleId="a6">
    <w:name w:val="footer"/>
    <w:basedOn w:val="a"/>
    <w:link w:val="a7"/>
    <w:uiPriority w:val="99"/>
    <w:unhideWhenUsed/>
    <w:rsid w:val="00024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02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yating chung</dc:creator>
  <cp:keywords/>
  <dc:description/>
  <cp:lastModifiedBy>pc</cp:lastModifiedBy>
  <cp:revision>2</cp:revision>
  <cp:lastPrinted>2024-12-12T15:35:00Z</cp:lastPrinted>
  <dcterms:created xsi:type="dcterms:W3CDTF">2025-09-03T02:06:00Z</dcterms:created>
  <dcterms:modified xsi:type="dcterms:W3CDTF">2025-09-03T02:06:00Z</dcterms:modified>
</cp:coreProperties>
</file>